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70E03" w14:textId="77777777" w:rsidR="00F07754" w:rsidRDefault="00DF17DC">
      <w:pPr>
        <w:pStyle w:val="Cmsor1"/>
        <w:spacing w:line="360" w:lineRule="auto"/>
      </w:pPr>
      <w:r>
        <w:t xml:space="preserve">Magyar Irodalmi Szerzői Jogvédő és Jogkezelő Egyesület (MISZJE) Befektetési </w:t>
      </w:r>
      <w:r>
        <w:rPr>
          <w:bCs/>
        </w:rPr>
        <w:t xml:space="preserve">és kockázat kezelési </w:t>
      </w:r>
      <w:r>
        <w:t>politikája</w:t>
      </w:r>
    </w:p>
    <w:p w14:paraId="2B13227E" w14:textId="77777777" w:rsidR="00F07754" w:rsidRDefault="00F07754" w:rsidP="00843E42">
      <w:pPr>
        <w:rPr>
          <w:sz w:val="24"/>
          <w:szCs w:val="24"/>
        </w:rPr>
      </w:pPr>
    </w:p>
    <w:p w14:paraId="181F0F3F" w14:textId="77777777" w:rsidR="00F07754" w:rsidRDefault="00DF17DC" w:rsidP="00843E42">
      <w:pPr>
        <w:jc w:val="both"/>
        <w:rPr>
          <w:b/>
          <w:sz w:val="26"/>
        </w:rPr>
      </w:pPr>
      <w:r>
        <w:rPr>
          <w:b/>
          <w:sz w:val="26"/>
        </w:rPr>
        <w:t>1. Befektetési formák</w:t>
      </w:r>
    </w:p>
    <w:p w14:paraId="7A98A4B2" w14:textId="77777777" w:rsidR="00F07754" w:rsidRDefault="00DF17DC" w:rsidP="00843E42">
      <w:pPr>
        <w:numPr>
          <w:ilvl w:val="1"/>
          <w:numId w:val="2"/>
        </w:numPr>
        <w:ind w:left="357" w:hanging="357"/>
        <w:jc w:val="both"/>
        <w:rPr>
          <w:b/>
          <w:sz w:val="24"/>
        </w:rPr>
      </w:pPr>
      <w:r>
        <w:rPr>
          <w:b/>
          <w:sz w:val="24"/>
        </w:rPr>
        <w:t>Értékpapír befektetések</w:t>
      </w:r>
    </w:p>
    <w:p w14:paraId="4CF34570" w14:textId="5B922464" w:rsidR="00F07754" w:rsidRPr="00A5785E" w:rsidRDefault="00DF17DC" w:rsidP="00A4254D">
      <w:pPr>
        <w:pStyle w:val="Szvegtrzs"/>
        <w:spacing w:after="0"/>
        <w:rPr>
          <w:szCs w:val="24"/>
        </w:rPr>
      </w:pPr>
      <w:r w:rsidRPr="00A5785E">
        <w:rPr>
          <w:szCs w:val="24"/>
        </w:rPr>
        <w:t xml:space="preserve">A Magyar Irodalmi Szerzői Jogvédő és Jogkezelő Egyesület (a továbbiakban: Egyesület) befektetési célra kizárólag a Magyar Állam által kibocsátott (államkötvény, diszkontkincstárjegy) értékpapírt vásárolhat. Ezek lehetnek tartós (1 éven túli), illetve rövid távú befektetési értékpapírok. Törekedni kell a diverzifikált struktúrára, amely biztosítja az elvárható rugalmasságot és biztonságot. </w:t>
      </w:r>
    </w:p>
    <w:p w14:paraId="2BBBAE6F" w14:textId="77777777" w:rsidR="00F07754" w:rsidRDefault="00DF17DC" w:rsidP="00A4254D">
      <w:pPr>
        <w:pStyle w:val="Szvegtrzs"/>
        <w:spacing w:after="0"/>
        <w:rPr>
          <w:b/>
        </w:rPr>
      </w:pPr>
      <w:r>
        <w:rPr>
          <w:b/>
        </w:rPr>
        <w:t>1.2 Egyéb befektetések</w:t>
      </w:r>
    </w:p>
    <w:p w14:paraId="5A1F9C82" w14:textId="2B302226" w:rsidR="00F07754" w:rsidRDefault="00DF17DC" w:rsidP="00A4254D">
      <w:pPr>
        <w:pStyle w:val="Szvegtrzs"/>
        <w:spacing w:after="0"/>
        <w:rPr>
          <w:color w:val="000000"/>
        </w:rPr>
      </w:pPr>
      <w:r>
        <w:rPr>
          <w:color w:val="000000"/>
        </w:rPr>
        <w:t>Egyéb befektetési céllal az Egyesület átmenetileg szabad pénzeszközeit betétként tartja, veszteség nélkül felbontható lekötött betétben, megtakarítási számlán helyezheti el.</w:t>
      </w:r>
    </w:p>
    <w:p w14:paraId="709AD8AE" w14:textId="77777777" w:rsidR="00A4254D" w:rsidRDefault="00A4254D" w:rsidP="00A4254D">
      <w:pPr>
        <w:pStyle w:val="Szvegtrzs"/>
        <w:spacing w:after="0"/>
      </w:pPr>
    </w:p>
    <w:p w14:paraId="09C40C4F" w14:textId="77777777" w:rsidR="00F07754" w:rsidRDefault="00DF17DC" w:rsidP="00A4254D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2. Egyéb befektetési elvek</w:t>
      </w:r>
    </w:p>
    <w:p w14:paraId="4118E773" w14:textId="77777777" w:rsidR="00F07754" w:rsidRPr="008F7523" w:rsidRDefault="00DF17DC" w:rsidP="00A4254D">
      <w:pPr>
        <w:jc w:val="both"/>
        <w:rPr>
          <w:b/>
          <w:bCs/>
          <w:sz w:val="24"/>
          <w:szCs w:val="24"/>
        </w:rPr>
      </w:pPr>
      <w:r w:rsidRPr="008F7523">
        <w:rPr>
          <w:b/>
          <w:bCs/>
          <w:sz w:val="24"/>
          <w:szCs w:val="24"/>
        </w:rPr>
        <w:t>2.1 A befektetés általános elvei</w:t>
      </w:r>
    </w:p>
    <w:p w14:paraId="7373FBD1" w14:textId="41458DEF" w:rsidR="00F07754" w:rsidRPr="00C33DFA" w:rsidRDefault="00DF17DC" w:rsidP="00A4254D">
      <w:pPr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 befektetéseket a szerzői jogok és a szerzői joghoz kapcsolódó jogok közös kezeléséről szóló 2016. évi XCIII. törvény </w:t>
      </w:r>
      <w:r w:rsidR="00843E42" w:rsidRPr="00C33DFA">
        <w:rPr>
          <w:bCs/>
          <w:iCs/>
          <w:sz w:val="24"/>
          <w:szCs w:val="24"/>
        </w:rPr>
        <w:t xml:space="preserve">(a továbbiakban: </w:t>
      </w:r>
      <w:proofErr w:type="spellStart"/>
      <w:r w:rsidR="00843E42" w:rsidRPr="00C33DFA">
        <w:rPr>
          <w:bCs/>
          <w:iCs/>
          <w:sz w:val="24"/>
          <w:szCs w:val="24"/>
        </w:rPr>
        <w:t>Kjkt</w:t>
      </w:r>
      <w:proofErr w:type="spellEnd"/>
      <w:r w:rsidR="00843E42" w:rsidRPr="00C33DFA">
        <w:rPr>
          <w:bCs/>
          <w:iCs/>
          <w:sz w:val="24"/>
          <w:szCs w:val="24"/>
        </w:rPr>
        <w:t>.)</w:t>
      </w:r>
      <w:r w:rsidR="00843E42" w:rsidRPr="00C33DFA">
        <w:rPr>
          <w:bCs/>
          <w:sz w:val="24"/>
          <w:szCs w:val="24"/>
        </w:rPr>
        <w:t xml:space="preserve"> </w:t>
      </w:r>
      <w:r w:rsidRPr="00C33DFA">
        <w:rPr>
          <w:bCs/>
          <w:sz w:val="24"/>
          <w:szCs w:val="24"/>
        </w:rPr>
        <w:t>37. §-</w:t>
      </w:r>
      <w:proofErr w:type="spellStart"/>
      <w:r w:rsidRPr="00C33DFA">
        <w:rPr>
          <w:bCs/>
          <w:sz w:val="24"/>
          <w:szCs w:val="24"/>
        </w:rPr>
        <w:t>ában</w:t>
      </w:r>
      <w:proofErr w:type="spellEnd"/>
      <w:r w:rsidRPr="00C33DFA">
        <w:rPr>
          <w:bCs/>
          <w:sz w:val="24"/>
          <w:szCs w:val="24"/>
        </w:rPr>
        <w:t xml:space="preserve"> meghatározottakat figyelembe véve kell végrehajtani.</w:t>
      </w:r>
    </w:p>
    <w:p w14:paraId="43908759" w14:textId="77777777" w:rsidR="00F07754" w:rsidRPr="00C33DFA" w:rsidRDefault="00DF17DC" w:rsidP="00A4254D">
      <w:pPr>
        <w:pStyle w:val="Szvegtrzs"/>
        <w:spacing w:after="0"/>
        <w:rPr>
          <w:bCs/>
          <w:szCs w:val="24"/>
        </w:rPr>
      </w:pPr>
      <w:r w:rsidRPr="00C33DFA">
        <w:rPr>
          <w:bCs/>
          <w:szCs w:val="24"/>
        </w:rPr>
        <w:t>A jogosultak részére kifizetendő jogdíjak azon részének befektetése, melynek kifizetése várhatóan a közeli jövőben esedékes, csak rövid távon lehetséges, és a kifizetést a befektetés nem akadályozhatja. Az ilyen szabad pénzeszközök csak napi kamatozású, nem fix futam idejű betétbe, megtakarítási számlára fektethetőek el.</w:t>
      </w:r>
    </w:p>
    <w:p w14:paraId="1AA53614" w14:textId="77777777" w:rsidR="00F07754" w:rsidRPr="00C33DFA" w:rsidRDefault="00DF17DC" w:rsidP="00843E42">
      <w:pPr>
        <w:pStyle w:val="Szvegtrzs"/>
        <w:spacing w:after="0"/>
        <w:rPr>
          <w:bCs/>
          <w:szCs w:val="24"/>
        </w:rPr>
      </w:pPr>
      <w:r w:rsidRPr="00C33DFA">
        <w:rPr>
          <w:bCs/>
          <w:szCs w:val="24"/>
        </w:rPr>
        <w:t>Nem alkalmazható olyan pénzpiaci eszköz, melynek használata során fennáll a befektetett tőke – akár csak részleges – elvesztésének lehetősége. A befektetési lehetőségek közül csak olyan alkalmazható, mely esetében a pénzügyi szolgáltató legalább tőkegaranciát biztosít.</w:t>
      </w:r>
    </w:p>
    <w:p w14:paraId="599CA23B" w14:textId="006B013C" w:rsidR="00D50ADE" w:rsidRPr="00FA6374" w:rsidRDefault="0051325E" w:rsidP="00843E42">
      <w:pPr>
        <w:pStyle w:val="Szveg"/>
        <w:spacing w:after="0"/>
        <w:rPr>
          <w:iCs/>
        </w:rPr>
      </w:pPr>
      <w:r w:rsidRPr="00C33DFA">
        <w:rPr>
          <w:iCs/>
        </w:rPr>
        <w:t xml:space="preserve">A </w:t>
      </w:r>
      <w:proofErr w:type="spellStart"/>
      <w:r w:rsidRPr="00C33DFA">
        <w:rPr>
          <w:iCs/>
        </w:rPr>
        <w:t>Kjtk</w:t>
      </w:r>
      <w:proofErr w:type="spellEnd"/>
      <w:r w:rsidRPr="00C33DFA">
        <w:rPr>
          <w:iCs/>
        </w:rPr>
        <w:t>. 4</w:t>
      </w:r>
      <w:r w:rsidR="00843E42" w:rsidRPr="00C33DFA">
        <w:rPr>
          <w:iCs/>
        </w:rPr>
        <w:t>.</w:t>
      </w:r>
      <w:r w:rsidRPr="00C33DFA">
        <w:rPr>
          <w:iCs/>
        </w:rPr>
        <w:t xml:space="preserve"> A közös jogkezelés alapelvei alcímében foglaltakra figyelemmel, valamint a jogosultak érdekeit szem előtt tartva a </w:t>
      </w:r>
      <w:r w:rsidR="00736B86" w:rsidRPr="00FA6374">
        <w:rPr>
          <w:bCs/>
          <w:szCs w:val="24"/>
        </w:rPr>
        <w:t xml:space="preserve">MISZJE </w:t>
      </w:r>
      <w:r w:rsidR="00434E46" w:rsidRPr="00FA6374">
        <w:rPr>
          <w:bCs/>
          <w:szCs w:val="24"/>
        </w:rPr>
        <w:t>közgyűlés</w:t>
      </w:r>
      <w:r w:rsidR="00736B86" w:rsidRPr="00FA6374">
        <w:rPr>
          <w:bCs/>
          <w:szCs w:val="24"/>
        </w:rPr>
        <w:t>e</w:t>
      </w:r>
      <w:r w:rsidR="00434E46" w:rsidRPr="00FA6374">
        <w:rPr>
          <w:bCs/>
          <w:szCs w:val="24"/>
        </w:rPr>
        <w:t xml:space="preserve"> </w:t>
      </w:r>
      <w:r w:rsidR="00A5785E" w:rsidRPr="00FA6374">
        <w:rPr>
          <w:bCs/>
          <w:szCs w:val="24"/>
        </w:rPr>
        <w:t xml:space="preserve">eseti </w:t>
      </w:r>
      <w:r w:rsidR="00434E46" w:rsidRPr="00FA6374">
        <w:rPr>
          <w:bCs/>
          <w:szCs w:val="24"/>
        </w:rPr>
        <w:t>felhatalmazást adhat</w:t>
      </w:r>
      <w:r w:rsidR="00A5785E" w:rsidRPr="00FA6374">
        <w:rPr>
          <w:bCs/>
          <w:szCs w:val="24"/>
        </w:rPr>
        <w:t xml:space="preserve"> – a bankszámla felett együttes rendelkezési joggal rendelkező – </w:t>
      </w:r>
      <w:r w:rsidR="00843E42" w:rsidRPr="00FA6374">
        <w:rPr>
          <w:bCs/>
          <w:szCs w:val="24"/>
        </w:rPr>
        <w:t>i</w:t>
      </w:r>
      <w:r w:rsidR="008F7523" w:rsidRPr="00FA6374">
        <w:rPr>
          <w:bCs/>
          <w:szCs w:val="24"/>
        </w:rPr>
        <w:t>gazgató</w:t>
      </w:r>
      <w:r w:rsidR="00843E42" w:rsidRPr="00FA6374">
        <w:rPr>
          <w:bCs/>
          <w:szCs w:val="24"/>
        </w:rPr>
        <w:t>n</w:t>
      </w:r>
      <w:r w:rsidR="008F7523" w:rsidRPr="00FA6374">
        <w:rPr>
          <w:bCs/>
          <w:szCs w:val="24"/>
        </w:rPr>
        <w:t>a</w:t>
      </w:r>
      <w:r w:rsidR="00843E42" w:rsidRPr="00FA6374">
        <w:rPr>
          <w:bCs/>
          <w:szCs w:val="24"/>
        </w:rPr>
        <w:t>k és a</w:t>
      </w:r>
      <w:r w:rsidR="00736B86" w:rsidRPr="00FA6374">
        <w:rPr>
          <w:bCs/>
          <w:szCs w:val="24"/>
        </w:rPr>
        <w:t xml:space="preserve"> gazdasági vezetőnek</w:t>
      </w:r>
      <w:r w:rsidR="00E30ABA" w:rsidRPr="00FA6374">
        <w:rPr>
          <w:bCs/>
          <w:szCs w:val="24"/>
        </w:rPr>
        <w:t>, hogy</w:t>
      </w:r>
      <w:r w:rsidR="00736B86" w:rsidRPr="00FA6374">
        <w:rPr>
          <w:bCs/>
          <w:szCs w:val="24"/>
        </w:rPr>
        <w:t xml:space="preserve"> </w:t>
      </w:r>
      <w:r w:rsidR="00E30ABA" w:rsidRPr="00FA6374">
        <w:rPr>
          <w:bCs/>
          <w:szCs w:val="24"/>
        </w:rPr>
        <w:t>a</w:t>
      </w:r>
      <w:r w:rsidR="00736B86" w:rsidRPr="00FA6374">
        <w:rPr>
          <w:bCs/>
          <w:szCs w:val="24"/>
        </w:rPr>
        <w:t xml:space="preserve"> MISZJE likviditási</w:t>
      </w:r>
      <w:r w:rsidR="00E30ABA" w:rsidRPr="00FA6374">
        <w:rPr>
          <w:bCs/>
          <w:szCs w:val="24"/>
        </w:rPr>
        <w:t xml:space="preserve">, valamint </w:t>
      </w:r>
      <w:r w:rsidR="00736B86" w:rsidRPr="00FA6374">
        <w:rPr>
          <w:bCs/>
          <w:szCs w:val="24"/>
        </w:rPr>
        <w:t>lekötési terv</w:t>
      </w:r>
      <w:r w:rsidR="00E30ABA" w:rsidRPr="00FA6374">
        <w:rPr>
          <w:bCs/>
          <w:szCs w:val="24"/>
        </w:rPr>
        <w:t>ére</w:t>
      </w:r>
      <w:r w:rsidR="00736B86" w:rsidRPr="00FA6374">
        <w:rPr>
          <w:bCs/>
          <w:szCs w:val="24"/>
        </w:rPr>
        <w:t xml:space="preserve"> figyelemmel</w:t>
      </w:r>
      <w:r w:rsidR="00736B86" w:rsidRPr="00FA6374">
        <w:rPr>
          <w:iCs/>
        </w:rPr>
        <w:t xml:space="preserve"> </w:t>
      </w:r>
      <w:r w:rsidR="00E30ABA" w:rsidRPr="00FA6374">
        <w:rPr>
          <w:i/>
          <w:color w:val="FF0000"/>
          <w:u w:val="single"/>
        </w:rPr>
        <w:t xml:space="preserve">legfeljebb </w:t>
      </w:r>
      <w:r w:rsidR="00D9697B" w:rsidRPr="00FA6374">
        <w:rPr>
          <w:i/>
          <w:color w:val="FF0000"/>
          <w:u w:val="single"/>
        </w:rPr>
        <w:t>12</w:t>
      </w:r>
      <w:r w:rsidR="00E30ABA" w:rsidRPr="00FA6374">
        <w:rPr>
          <w:i/>
          <w:color w:val="FF0000"/>
          <w:u w:val="single"/>
        </w:rPr>
        <w:t xml:space="preserve"> hónap alatt, </w:t>
      </w:r>
      <w:r w:rsidR="00E30ABA" w:rsidRPr="00FA6374">
        <w:rPr>
          <w:i/>
          <w:strike/>
          <w:color w:val="FF0000"/>
          <w:u w:val="single"/>
        </w:rPr>
        <w:t>maximum 4 alkalommal,</w:t>
      </w:r>
      <w:r w:rsidR="00E30ABA" w:rsidRPr="00FA6374">
        <w:rPr>
          <w:i/>
          <w:color w:val="FF0000"/>
          <w:u w:val="single"/>
        </w:rPr>
        <w:t xml:space="preserve"> legfeljebb </w:t>
      </w:r>
      <w:r w:rsidR="00BA0208" w:rsidRPr="00FA6374">
        <w:rPr>
          <w:i/>
          <w:color w:val="FF0000"/>
          <w:u w:val="single"/>
        </w:rPr>
        <w:t>1</w:t>
      </w:r>
      <w:r w:rsidR="00F11C8E" w:rsidRPr="00FA6374">
        <w:rPr>
          <w:i/>
          <w:color w:val="FF0000"/>
          <w:u w:val="single"/>
        </w:rPr>
        <w:t>8</w:t>
      </w:r>
      <w:r w:rsidR="00736B86" w:rsidRPr="00FA6374">
        <w:rPr>
          <w:i/>
          <w:color w:val="FF0000"/>
          <w:u w:val="single"/>
        </w:rPr>
        <w:t>0</w:t>
      </w:r>
      <w:r w:rsidR="00D9697B" w:rsidRPr="00FA6374">
        <w:rPr>
          <w:i/>
          <w:color w:val="FF0000"/>
          <w:u w:val="single"/>
        </w:rPr>
        <w:t xml:space="preserve"> </w:t>
      </w:r>
      <w:r w:rsidR="00736B86" w:rsidRPr="00FA6374">
        <w:rPr>
          <w:i/>
          <w:color w:val="FF0000"/>
          <w:u w:val="single"/>
        </w:rPr>
        <w:t xml:space="preserve">millió </w:t>
      </w:r>
      <w:r w:rsidR="00D9697B" w:rsidRPr="00FA6374">
        <w:rPr>
          <w:i/>
          <w:color w:val="FF0000"/>
          <w:u w:val="single"/>
        </w:rPr>
        <w:t>Ft (száz</w:t>
      </w:r>
      <w:r w:rsidR="00902724" w:rsidRPr="00FA6374">
        <w:rPr>
          <w:i/>
          <w:color w:val="FF0000"/>
          <w:u w:val="single"/>
        </w:rPr>
        <w:t>nyolcvanmillió</w:t>
      </w:r>
      <w:r w:rsidR="00D9697B" w:rsidRPr="00FA6374">
        <w:rPr>
          <w:i/>
          <w:color w:val="FF0000"/>
          <w:u w:val="single"/>
        </w:rPr>
        <w:t xml:space="preserve"> millió</w:t>
      </w:r>
      <w:r w:rsidR="00D9697B" w:rsidRPr="00FA6374">
        <w:rPr>
          <w:iCs/>
          <w:color w:val="FF0000"/>
        </w:rPr>
        <w:t xml:space="preserve"> </w:t>
      </w:r>
      <w:r w:rsidR="00736B86" w:rsidRPr="00FA6374">
        <w:rPr>
          <w:iCs/>
        </w:rPr>
        <w:t>forint</w:t>
      </w:r>
      <w:r w:rsidR="00D9697B" w:rsidRPr="00FA6374">
        <w:rPr>
          <w:iCs/>
        </w:rPr>
        <w:t>)</w:t>
      </w:r>
      <w:r w:rsidR="00736B86" w:rsidRPr="00FA6374">
        <w:rPr>
          <w:iCs/>
        </w:rPr>
        <w:t xml:space="preserve"> összeg</w:t>
      </w:r>
      <w:r w:rsidR="00843E42" w:rsidRPr="00FA6374">
        <w:rPr>
          <w:iCs/>
        </w:rPr>
        <w:t>határig</w:t>
      </w:r>
      <w:r w:rsidR="00736B86" w:rsidRPr="00FA6374">
        <w:rPr>
          <w:iCs/>
        </w:rPr>
        <w:t xml:space="preserve"> konzervatív módon gondolkodva</w:t>
      </w:r>
      <w:r w:rsidR="00434E46" w:rsidRPr="00FA6374">
        <w:rPr>
          <w:iCs/>
        </w:rPr>
        <w:t>, a száml</w:t>
      </w:r>
      <w:r w:rsidR="00CE593B" w:rsidRPr="00FA6374">
        <w:rPr>
          <w:iCs/>
        </w:rPr>
        <w:t>a</w:t>
      </w:r>
      <w:r w:rsidR="00434E46" w:rsidRPr="00FA6374">
        <w:rPr>
          <w:iCs/>
        </w:rPr>
        <w:t xml:space="preserve">vezető pénzintézetnél </w:t>
      </w:r>
      <w:r w:rsidR="00E30ABA" w:rsidRPr="00FA6374">
        <w:rPr>
          <w:iCs/>
        </w:rPr>
        <w:t>lekötéseket kezdeményezzen</w:t>
      </w:r>
      <w:r w:rsidR="00902724" w:rsidRPr="00FA6374">
        <w:rPr>
          <w:iCs/>
        </w:rPr>
        <w:t xml:space="preserve">, </w:t>
      </w:r>
      <w:r w:rsidR="00902724" w:rsidRPr="00FA6374">
        <w:rPr>
          <w:i/>
          <w:color w:val="FF0000"/>
          <w:u w:val="single"/>
        </w:rPr>
        <w:t>valamint a szükséges ütemben rendelkezzen a lekötött összegek feloldásáról</w:t>
      </w:r>
      <w:r w:rsidR="00E30ABA" w:rsidRPr="00FA6374">
        <w:rPr>
          <w:iCs/>
        </w:rPr>
        <w:t>.</w:t>
      </w:r>
      <w:r w:rsidR="008F7523" w:rsidRPr="00FA6374">
        <w:rPr>
          <w:iCs/>
        </w:rPr>
        <w:t xml:space="preserve"> </w:t>
      </w:r>
    </w:p>
    <w:p w14:paraId="49E488F8" w14:textId="241B13AB" w:rsidR="00D50ADE" w:rsidRPr="00FA6374" w:rsidRDefault="00D50ADE" w:rsidP="00D50ADE">
      <w:pPr>
        <w:jc w:val="both"/>
        <w:rPr>
          <w:iCs/>
        </w:rPr>
      </w:pPr>
      <w:r w:rsidRPr="00FA6374">
        <w:rPr>
          <w:i/>
          <w:color w:val="FF0000"/>
          <w:sz w:val="24"/>
          <w:u w:val="single"/>
        </w:rPr>
        <w:t xml:space="preserve">A pályázati támogatásokból származó források tekintetében </w:t>
      </w:r>
      <w:r w:rsidR="00E26EAE" w:rsidRPr="00FA6374">
        <w:rPr>
          <w:i/>
          <w:color w:val="FF0000"/>
          <w:sz w:val="24"/>
          <w:u w:val="single"/>
        </w:rPr>
        <w:t xml:space="preserve">a </w:t>
      </w:r>
      <w:r w:rsidRPr="00FA6374">
        <w:rPr>
          <w:i/>
          <w:color w:val="FF0000"/>
          <w:sz w:val="24"/>
          <w:u w:val="single"/>
        </w:rPr>
        <w:t xml:space="preserve">MISZJE közgyűlése </w:t>
      </w:r>
      <w:bookmarkStart w:id="0" w:name="_GoBack"/>
      <w:bookmarkEnd w:id="0"/>
      <w:r w:rsidRPr="00FA6374">
        <w:rPr>
          <w:i/>
          <w:color w:val="FF0000"/>
          <w:sz w:val="24"/>
          <w:u w:val="single"/>
        </w:rPr>
        <w:t>felhatalmazást adhat – a bankszámla felett együttes rendelkezési joggal rendelkező – igazgatónak és a gazdasági vezetőnek, hogy amennyiben a vonatkozó támogatási szerződés lehetővé teszi konzervatív módon gondolkodva a számlavezető pénzintézetnél tranzakciókat (lekötés/feloldás) kezdeményezzen.</w:t>
      </w:r>
    </w:p>
    <w:p w14:paraId="24B481DF" w14:textId="6908886C" w:rsidR="0051325E" w:rsidRPr="00C33DFA" w:rsidRDefault="00420E58" w:rsidP="00843E42">
      <w:pPr>
        <w:pStyle w:val="Szveg"/>
        <w:spacing w:after="0"/>
        <w:rPr>
          <w:iCs/>
        </w:rPr>
      </w:pPr>
      <w:r w:rsidRPr="00846D44">
        <w:rPr>
          <w:iCs/>
        </w:rPr>
        <w:t>A befektetések tőkegarantált (betét, bank, illetve állam által garantált értékpapír), vagy a bank, illetve</w:t>
      </w:r>
      <w:r w:rsidR="00245126" w:rsidRPr="00846D44">
        <w:rPr>
          <w:iCs/>
        </w:rPr>
        <w:t xml:space="preserve"> </w:t>
      </w:r>
      <w:r w:rsidRPr="00846D44">
        <w:rPr>
          <w:iCs/>
        </w:rPr>
        <w:t xml:space="preserve">a bank alapkezelője által létrehozott alapot nyilvánosan legalacsonyabb kockázatú kategóriába sorolt termékek </w:t>
      </w:r>
      <w:r w:rsidR="00245126" w:rsidRPr="00846D44">
        <w:rPr>
          <w:iCs/>
        </w:rPr>
        <w:t>lehetnek</w:t>
      </w:r>
      <w:r w:rsidRPr="00846D44">
        <w:rPr>
          <w:iCs/>
        </w:rPr>
        <w:t>.</w:t>
      </w:r>
    </w:p>
    <w:p w14:paraId="67863CC3" w14:textId="748A4B4D" w:rsidR="00420E58" w:rsidRPr="00D50ADE" w:rsidRDefault="00420E58" w:rsidP="00D50ADE">
      <w:pPr>
        <w:pStyle w:val="Szvegtrzs"/>
        <w:spacing w:after="0"/>
        <w:rPr>
          <w:bCs/>
          <w:szCs w:val="24"/>
        </w:rPr>
      </w:pPr>
    </w:p>
    <w:p w14:paraId="66A075AB" w14:textId="3BA5ED1D" w:rsidR="00F07754" w:rsidRPr="00C33DFA" w:rsidRDefault="00DF17DC" w:rsidP="00A4254D">
      <w:pPr>
        <w:jc w:val="both"/>
      </w:pPr>
      <w:r w:rsidRPr="00C33DFA">
        <w:rPr>
          <w:b/>
          <w:bCs/>
          <w:sz w:val="24"/>
        </w:rPr>
        <w:t>2.2 Befektetési haszon</w:t>
      </w:r>
    </w:p>
    <w:p w14:paraId="34CF1C87" w14:textId="5FEF2D13" w:rsidR="00F07754" w:rsidRPr="00C33DFA" w:rsidRDefault="00DF17DC" w:rsidP="00A4254D">
      <w:pPr>
        <w:pStyle w:val="Szvegtrzsbehzssal2"/>
        <w:spacing w:line="240" w:lineRule="auto"/>
        <w:ind w:firstLine="0"/>
      </w:pPr>
      <w:r w:rsidRPr="00C33DFA">
        <w:lastRenderedPageBreak/>
        <w:t>Az egyesületi befektetéseknél törekedni kell a minél nagyobb, de kellő biztonságú haszon elérésére. A befektetések előtt célszerű megfelelő piaci elővizsgálat és gazdaságossági számítások végzése.</w:t>
      </w:r>
      <w:r w:rsidR="00313B28" w:rsidRPr="00C33DFA">
        <w:t xml:space="preserve"> </w:t>
      </w:r>
      <w:r w:rsidR="00313B28" w:rsidRPr="00C33DFA">
        <w:rPr>
          <w:iCs/>
        </w:rPr>
        <w:t>A befektetéssel elért hasznot az egyesület jogdíj kifizetésre fordítja.</w:t>
      </w:r>
    </w:p>
    <w:p w14:paraId="0886471B" w14:textId="77777777" w:rsidR="00F07754" w:rsidRDefault="00DF17DC" w:rsidP="00A4254D">
      <w:pPr>
        <w:jc w:val="both"/>
        <w:rPr>
          <w:b/>
          <w:sz w:val="24"/>
        </w:rPr>
      </w:pPr>
      <w:r>
        <w:rPr>
          <w:b/>
          <w:sz w:val="24"/>
        </w:rPr>
        <w:t>2.3. Befektetések lehetséges partnerei</w:t>
      </w:r>
    </w:p>
    <w:p w14:paraId="2262850B" w14:textId="77777777" w:rsidR="00F07754" w:rsidRDefault="00DF17DC" w:rsidP="00A4254D">
      <w:pPr>
        <w:jc w:val="both"/>
        <w:rPr>
          <w:sz w:val="24"/>
        </w:rPr>
      </w:pPr>
      <w:r>
        <w:rPr>
          <w:sz w:val="24"/>
        </w:rPr>
        <w:t>Csak olyan befektetéseket lehet megtenni, amely befektetések főtőke összege biztonságos befektetést garantál. Betét lekötés csak annál a banknál lehetséges, ahol az Egyesület a folyószámláját vezeti.</w:t>
      </w:r>
    </w:p>
    <w:p w14:paraId="3896AD3F" w14:textId="77777777" w:rsidR="00F07754" w:rsidRDefault="00DF17DC" w:rsidP="00A4254D">
      <w:pPr>
        <w:jc w:val="both"/>
      </w:pPr>
      <w:r>
        <w:rPr>
          <w:b/>
          <w:bCs/>
          <w:sz w:val="24"/>
        </w:rPr>
        <w:t>2.4 Nyilvántartási kötelezettség</w:t>
      </w:r>
    </w:p>
    <w:p w14:paraId="078110D9" w14:textId="77777777" w:rsidR="00F07754" w:rsidRDefault="00DF17DC" w:rsidP="00A4254D">
      <w:pPr>
        <w:pStyle w:val="Szvegtrzsbehzssal2"/>
        <w:widowControl w:val="0"/>
        <w:spacing w:line="240" w:lineRule="auto"/>
        <w:ind w:firstLine="0"/>
      </w:pPr>
      <w:r>
        <w:t>A tartós (1 éven túli) befektetéseket a főkönyvben a Tárgyi eszközök között, a rövid távú befektetéséket a Forgóeszközök között kell nyilvántartani.</w:t>
      </w:r>
    </w:p>
    <w:p w14:paraId="7D7008D4" w14:textId="77777777" w:rsidR="00F07754" w:rsidRDefault="00DF17DC" w:rsidP="00A4254D">
      <w:pPr>
        <w:jc w:val="both"/>
      </w:pPr>
      <w:r>
        <w:rPr>
          <w:sz w:val="24"/>
        </w:rPr>
        <w:t>A befektetésekről egyedileg analitikus nyilvántartást kell vezetni, amelynek tartalmaznia kell:</w:t>
      </w:r>
    </w:p>
    <w:p w14:paraId="4E0FAF77" w14:textId="77777777" w:rsidR="00F07754" w:rsidRDefault="00DF17DC" w:rsidP="00A4254D">
      <w:pPr>
        <w:jc w:val="both"/>
        <w:rPr>
          <w:sz w:val="24"/>
        </w:rPr>
      </w:pPr>
      <w:r>
        <w:rPr>
          <w:sz w:val="24"/>
        </w:rPr>
        <w:t>- a befektetés keltét,</w:t>
      </w:r>
    </w:p>
    <w:p w14:paraId="4ACB4B36" w14:textId="77777777" w:rsidR="00F07754" w:rsidRDefault="00DF17DC" w:rsidP="00A4254D">
      <w:pPr>
        <w:jc w:val="both"/>
        <w:rPr>
          <w:sz w:val="24"/>
        </w:rPr>
      </w:pPr>
      <w:r>
        <w:rPr>
          <w:sz w:val="24"/>
        </w:rPr>
        <w:t>- a hivatkozási számot,</w:t>
      </w:r>
    </w:p>
    <w:p w14:paraId="74112E6E" w14:textId="77777777" w:rsidR="00F07754" w:rsidRDefault="00DF17DC" w:rsidP="00A4254D">
      <w:pPr>
        <w:jc w:val="both"/>
        <w:rPr>
          <w:sz w:val="24"/>
        </w:rPr>
      </w:pPr>
      <w:r>
        <w:rPr>
          <w:sz w:val="24"/>
        </w:rPr>
        <w:t>- a befektetés megnevezését,</w:t>
      </w:r>
    </w:p>
    <w:p w14:paraId="522F2DAB" w14:textId="77777777" w:rsidR="00F07754" w:rsidRDefault="00DF17DC" w:rsidP="00A4254D">
      <w:pPr>
        <w:jc w:val="both"/>
        <w:rPr>
          <w:sz w:val="24"/>
        </w:rPr>
      </w:pPr>
      <w:r>
        <w:rPr>
          <w:sz w:val="24"/>
        </w:rPr>
        <w:t>- a befektetett összeget,</w:t>
      </w:r>
    </w:p>
    <w:p w14:paraId="76F7CEC3" w14:textId="77777777" w:rsidR="00F07754" w:rsidRDefault="00DF17DC" w:rsidP="00A4254D">
      <w:pPr>
        <w:jc w:val="both"/>
        <w:rPr>
          <w:sz w:val="24"/>
        </w:rPr>
      </w:pPr>
      <w:r>
        <w:rPr>
          <w:sz w:val="24"/>
        </w:rPr>
        <w:t xml:space="preserve">- a jóváírt hozamot, </w:t>
      </w:r>
    </w:p>
    <w:p w14:paraId="1BC40049" w14:textId="77777777" w:rsidR="00F07754" w:rsidRDefault="00DF17DC" w:rsidP="00A4254D">
      <w:pPr>
        <w:jc w:val="both"/>
        <w:rPr>
          <w:sz w:val="24"/>
        </w:rPr>
      </w:pPr>
      <w:r>
        <w:rPr>
          <w:sz w:val="24"/>
        </w:rPr>
        <w:t>- a befektetés megszüntetésének keltét, összegét.</w:t>
      </w:r>
    </w:p>
    <w:p w14:paraId="494BA44B" w14:textId="77777777" w:rsidR="00F07754" w:rsidRDefault="00DF17DC" w:rsidP="00A4254D">
      <w:pPr>
        <w:keepNext/>
        <w:jc w:val="both"/>
      </w:pPr>
      <w:r>
        <w:rPr>
          <w:b/>
          <w:sz w:val="24"/>
        </w:rPr>
        <w:t>2.5 Felelősség</w:t>
      </w:r>
    </w:p>
    <w:p w14:paraId="75EABECA" w14:textId="0C21775E" w:rsidR="00F07754" w:rsidRDefault="00DF17DC" w:rsidP="00A4254D">
      <w:pPr>
        <w:jc w:val="both"/>
        <w:rPr>
          <w:sz w:val="24"/>
        </w:rPr>
      </w:pPr>
      <w:r>
        <w:rPr>
          <w:sz w:val="24"/>
        </w:rPr>
        <w:t xml:space="preserve">A befektetési és kockázat kezelési döntések előkészítéséért az Igazgató a felelős. A döntésért való felelősségre a Ptk., az Szjt. és a </w:t>
      </w:r>
      <w:proofErr w:type="spellStart"/>
      <w:r>
        <w:rPr>
          <w:sz w:val="24"/>
        </w:rPr>
        <w:t>Kjkt</w:t>
      </w:r>
      <w:proofErr w:type="spellEnd"/>
      <w:r>
        <w:rPr>
          <w:sz w:val="24"/>
        </w:rPr>
        <w:t>. megfelelő szabályait kell alkalmazni.</w:t>
      </w:r>
    </w:p>
    <w:p w14:paraId="49A63AA7" w14:textId="77777777" w:rsidR="00F07754" w:rsidRDefault="00DF17DC" w:rsidP="00A4254D">
      <w:pPr>
        <w:jc w:val="both"/>
      </w:pPr>
      <w:r>
        <w:rPr>
          <w:b/>
          <w:sz w:val="24"/>
        </w:rPr>
        <w:t>2.6 Kockázat kezelés</w:t>
      </w:r>
    </w:p>
    <w:p w14:paraId="0924E878" w14:textId="77777777" w:rsidR="00F07754" w:rsidRDefault="00DF17DC" w:rsidP="00A4254D">
      <w:pPr>
        <w:jc w:val="both"/>
        <w:rPr>
          <w:i/>
          <w:sz w:val="24"/>
          <w:u w:val="single"/>
        </w:rPr>
      </w:pPr>
      <w:r>
        <w:rPr>
          <w:sz w:val="24"/>
        </w:rPr>
        <w:t>Az Elnök és az Igazgató köteles figyelemmel kísérni a befektetés kockázatait. Ha az Elnök vagy az Igazgató tudomására jut olyan jövőbeli esemény, amely bekövetkezésének lehetősége, amely a befektetett jogdíjbevételre vagy egyéb befektetésekre negatív hatással lehet, arról értesíti az Elnökséget és szükség esetén a Közgyűlést.</w:t>
      </w:r>
    </w:p>
    <w:p w14:paraId="67F7083A" w14:textId="77777777" w:rsidR="00F07754" w:rsidRDefault="00DF17DC" w:rsidP="00A4254D">
      <w:pPr>
        <w:keepNext/>
        <w:jc w:val="both"/>
      </w:pPr>
      <w:r>
        <w:rPr>
          <w:b/>
          <w:bCs/>
          <w:sz w:val="24"/>
        </w:rPr>
        <w:t>2.7</w:t>
      </w:r>
      <w:r>
        <w:rPr>
          <w:b/>
          <w:sz w:val="24"/>
        </w:rPr>
        <w:t xml:space="preserve"> Egyéb rendelkezések</w:t>
      </w:r>
    </w:p>
    <w:p w14:paraId="0B038199" w14:textId="77777777" w:rsidR="00F07754" w:rsidRDefault="00DF17DC" w:rsidP="00A4254D">
      <w:pPr>
        <w:pStyle w:val="Szvegtrzsbehzssal2"/>
        <w:spacing w:line="240" w:lineRule="auto"/>
        <w:ind w:firstLine="0"/>
      </w:pPr>
      <w:r>
        <w:t xml:space="preserve">Évenként a befektetési és kockázat kezelési politikát felül kell vizsgálni és azt szükség szerint módosítani kell. </w:t>
      </w:r>
    </w:p>
    <w:p w14:paraId="208F8CF9" w14:textId="77777777" w:rsidR="00F07754" w:rsidRDefault="00DF17DC" w:rsidP="00A4254D">
      <w:pPr>
        <w:jc w:val="both"/>
      </w:pPr>
      <w:r>
        <w:rPr>
          <w:b/>
          <w:sz w:val="24"/>
        </w:rPr>
        <w:t>2.8 Hatályba lépés</w:t>
      </w:r>
    </w:p>
    <w:p w14:paraId="3E1FDD63" w14:textId="7F7772FC" w:rsidR="00F07754" w:rsidRDefault="00DF17DC" w:rsidP="00A4254D">
      <w:pPr>
        <w:jc w:val="both"/>
        <w:rPr>
          <w:sz w:val="24"/>
        </w:rPr>
      </w:pPr>
      <w:r>
        <w:rPr>
          <w:sz w:val="24"/>
        </w:rPr>
        <w:t>A Befektetési és kockázat kezelési politika az elfogadásával egyidejűleg hatályba lép.</w:t>
      </w:r>
    </w:p>
    <w:p w14:paraId="24831D6B" w14:textId="77777777" w:rsidR="00A4254D" w:rsidRDefault="00A4254D" w:rsidP="00A4254D">
      <w:pPr>
        <w:jc w:val="both"/>
      </w:pPr>
    </w:p>
    <w:p w14:paraId="677CE9E4" w14:textId="77777777" w:rsidR="00F07754" w:rsidRDefault="00DF17DC" w:rsidP="00A4254D">
      <w:pPr>
        <w:jc w:val="both"/>
      </w:pPr>
      <w:r>
        <w:rPr>
          <w:b/>
          <w:sz w:val="26"/>
          <w:szCs w:val="26"/>
        </w:rPr>
        <w:t>3. Vegyes rendelkezések</w:t>
      </w:r>
    </w:p>
    <w:p w14:paraId="3E25C23E" w14:textId="77777777" w:rsidR="00F07754" w:rsidRDefault="00DF17DC" w:rsidP="00A4254D">
      <w:pPr>
        <w:ind w:hanging="45"/>
        <w:jc w:val="both"/>
        <w:rPr>
          <w:sz w:val="24"/>
          <w:szCs w:val="24"/>
        </w:rPr>
      </w:pPr>
      <w:r>
        <w:rPr>
          <w:sz w:val="24"/>
          <w:szCs w:val="24"/>
        </w:rPr>
        <w:t>Jelen módosításokkal egységes szerkezetbe foglalt befektetési és kockázatkezelési politika az átvezetett módosításokat dőlt betűvel, aláhúzottan a többi szövegrésztől jól elkülöníthetően tartalmazza.</w:t>
      </w:r>
    </w:p>
    <w:p w14:paraId="2776AF46" w14:textId="77777777" w:rsidR="00F07754" w:rsidRDefault="00F07754" w:rsidP="00A4254D">
      <w:pPr>
        <w:spacing w:line="360" w:lineRule="auto"/>
        <w:jc w:val="both"/>
        <w:rPr>
          <w:i/>
          <w:sz w:val="24"/>
          <w:u w:val="single"/>
        </w:rPr>
      </w:pPr>
    </w:p>
    <w:p w14:paraId="0F2EE673" w14:textId="18227982" w:rsidR="00F07754" w:rsidRDefault="00DF17DC" w:rsidP="00A4254D">
      <w:pPr>
        <w:spacing w:line="360" w:lineRule="auto"/>
        <w:jc w:val="both"/>
      </w:pPr>
      <w:r>
        <w:rPr>
          <w:sz w:val="24"/>
        </w:rPr>
        <w:t>Budapest, 202</w:t>
      </w:r>
      <w:r w:rsidR="00BA0208">
        <w:rPr>
          <w:sz w:val="24"/>
        </w:rPr>
        <w:t>3</w:t>
      </w:r>
      <w:r>
        <w:rPr>
          <w:sz w:val="24"/>
        </w:rPr>
        <w:t xml:space="preserve">. </w:t>
      </w:r>
      <w:r w:rsidR="00F15F0F">
        <w:rPr>
          <w:sz w:val="24"/>
        </w:rPr>
        <w:t>május</w:t>
      </w:r>
      <w:r w:rsidR="00C33DFA">
        <w:rPr>
          <w:sz w:val="24"/>
        </w:rPr>
        <w:t xml:space="preserve"> „</w:t>
      </w:r>
      <w:r w:rsidR="00F15F0F">
        <w:rPr>
          <w:sz w:val="24"/>
        </w:rPr>
        <w:t>30</w:t>
      </w:r>
      <w:r w:rsidR="00C33DFA">
        <w:rPr>
          <w:sz w:val="24"/>
        </w:rPr>
        <w:t>.„</w:t>
      </w:r>
    </w:p>
    <w:p w14:paraId="154B9156" w14:textId="77777777" w:rsidR="00F07754" w:rsidRDefault="00DF17DC">
      <w:pPr>
        <w:tabs>
          <w:tab w:val="left" w:pos="4678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ab/>
      </w:r>
    </w:p>
    <w:p w14:paraId="0F1355A1" w14:textId="77777777" w:rsidR="00F07754" w:rsidRDefault="00DF17DC">
      <w:pPr>
        <w:tabs>
          <w:tab w:val="left" w:pos="4678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ab/>
        <w:t>Mészáros Sándor</w:t>
      </w:r>
    </w:p>
    <w:p w14:paraId="73C8BC9B" w14:textId="77777777" w:rsidR="00F07754" w:rsidRDefault="00DF17DC">
      <w:pPr>
        <w:tabs>
          <w:tab w:val="left" w:pos="4678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ab/>
        <w:t>a MISZJE elnöke</w:t>
      </w:r>
    </w:p>
    <w:p w14:paraId="76F86C35" w14:textId="77777777" w:rsidR="00F07754" w:rsidRDefault="00F07754">
      <w:pPr>
        <w:tabs>
          <w:tab w:val="left" w:pos="4678"/>
        </w:tabs>
        <w:spacing w:line="360" w:lineRule="auto"/>
        <w:ind w:firstLine="708"/>
        <w:jc w:val="both"/>
        <w:rPr>
          <w:sz w:val="24"/>
        </w:rPr>
      </w:pPr>
    </w:p>
    <w:p w14:paraId="335C2EA8" w14:textId="77777777" w:rsidR="00F07754" w:rsidRDefault="00DF17DC">
      <w:pPr>
        <w:tabs>
          <w:tab w:val="center" w:pos="567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Előttünk, mint tanúk előtt:</w:t>
      </w:r>
    </w:p>
    <w:p w14:paraId="7276B12E" w14:textId="77777777" w:rsidR="00F07754" w:rsidRDefault="00DF17DC">
      <w:pPr>
        <w:tabs>
          <w:tab w:val="left" w:pos="567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Tanú1</w:t>
      </w:r>
      <w:r>
        <w:rPr>
          <w:sz w:val="24"/>
          <w:szCs w:val="24"/>
        </w:rPr>
        <w:tab/>
        <w:t>Tanú2</w:t>
      </w:r>
    </w:p>
    <w:p w14:paraId="4E781CDC" w14:textId="77777777" w:rsidR="00F07754" w:rsidRDefault="00DF17DC">
      <w:pPr>
        <w:tabs>
          <w:tab w:val="left" w:pos="567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>Név:</w:t>
      </w:r>
      <w:r>
        <w:rPr>
          <w:sz w:val="24"/>
          <w:szCs w:val="24"/>
        </w:rPr>
        <w:tab/>
        <w:t>Név:</w:t>
      </w:r>
    </w:p>
    <w:p w14:paraId="70F7F42B" w14:textId="77777777" w:rsidR="00F07754" w:rsidRDefault="00DF17DC">
      <w:pPr>
        <w:tabs>
          <w:tab w:val="left" w:pos="567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Cím:</w:t>
      </w:r>
      <w:r>
        <w:rPr>
          <w:sz w:val="24"/>
          <w:szCs w:val="24"/>
        </w:rPr>
        <w:tab/>
        <w:t>Cím:</w:t>
      </w:r>
    </w:p>
    <w:p w14:paraId="735F0410" w14:textId="77777777" w:rsidR="00F07754" w:rsidRDefault="00DF17DC">
      <w:pPr>
        <w:tabs>
          <w:tab w:val="left" w:pos="567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Aláírás:</w:t>
      </w:r>
      <w:r>
        <w:rPr>
          <w:sz w:val="24"/>
          <w:szCs w:val="24"/>
        </w:rPr>
        <w:tab/>
        <w:t>Aláírás:</w:t>
      </w:r>
    </w:p>
    <w:sectPr w:rsidR="00F07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453" w:h="16160"/>
      <w:pgMar w:top="856" w:right="1105" w:bottom="1588" w:left="1560" w:header="708" w:footer="113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BEB33" w14:textId="77777777" w:rsidR="00EB33B6" w:rsidRDefault="00DF17DC">
      <w:r>
        <w:separator/>
      </w:r>
    </w:p>
  </w:endnote>
  <w:endnote w:type="continuationSeparator" w:id="0">
    <w:p w14:paraId="249E61A3" w14:textId="77777777" w:rsidR="00EB33B6" w:rsidRDefault="00DF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F1D67" w14:textId="77777777" w:rsidR="00F07754" w:rsidRDefault="00DF17DC">
    <w:pPr>
      <w:pStyle w:val="llb"/>
      <w:widowControl/>
      <w:ind w:right="360" w:firstLine="360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3" behindDoc="0" locked="0" layoutInCell="0" allowOverlap="1" wp14:anchorId="2F8D118E" wp14:editId="51E72F4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685"/>
              <wp:effectExtent l="0" t="0" r="0" b="0"/>
              <wp:wrapSquare wrapText="largest"/>
              <wp:docPr id="1" name="Kere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8CB9762" w14:textId="77777777" w:rsidR="00F07754" w:rsidRDefault="00DF17DC">
                          <w:pPr>
                            <w:pStyle w:val="llb"/>
                            <w:rPr>
                              <w:rStyle w:val="Oldalszm"/>
                            </w:rPr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>PAGE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C33DFA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2F8D118E" id="_x0000_t202" coordsize="21600,21600" o:spt="202" path="m,l,21600r21600,l21600,xe">
              <v:stroke joinstyle="miter"/>
              <v:path gradientshapeok="t" o:connecttype="rect"/>
            </v:shapetype>
            <v:shape id="Keret2" o:spid="_x0000_s1026" type="#_x0000_t202" style="position:absolute;left:0;text-align:left;margin-left:0;margin-top:.05pt;width:5.1pt;height:11.5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aVoQEAAEMDAAAOAAAAZHJzL2Uyb0RvYy54bWysUttu2zAMfR+wfxD0vigpurQw4hTbigwD&#10;hm1A1w+QZSkWIIkCpcbO34+Scym2t6F+oHnTIQ/JzcPkHTtoTBZCy1eLJWc6KOht2Lf8+ffuwz1n&#10;KcvQSwdBt/yoE3/Yvn+3GWOjb2AA12tkBBJSM8aWDznHRoikBu1lWkDUgYIG0MtMJu5Fj3IkdO/E&#10;zXK5FiNgHxGUTom8j3OQbyu+MVrln8YknZlrOfWWq8QquyLFdiObPco4WHVqQ/5HF17aQEUvUI8y&#10;S/aC9h8obxVCApMXCrwAY6zSlQOxWS3/YvM0yKgrFxpOipcxpbeDVT8OT/EXsjx9hokWWAYyxtQk&#10;chY+k0Ff/tQpoziN8HgZm54yU+Rc397dUUBRZHW7Xt9/LCDi+jZiyl81eFaUliMtpc5KHr6nPKee&#10;U0qpBM72O+tcNXDffXHIDpIWuKvf/NbFQc7eukQql+bUWvoVhrjSKVqeuunEsYP+SNTdt0ADLcdx&#10;VvCsdGdFBjUAnc3ceIBPLxmMrc0X0BmJKheDNlV7OF1VOYXXds263v72DwAAAP//AwBQSwMEFAAG&#10;AAgAAAAhAD7j5OLXAAAAAwEAAA8AAABkcnMvZG93bnJldi54bWxMj8FOwzAQRO9I/IO1SL1RB1eC&#10;ErKpoBVcESlSr268jaPE6yh22/D3OCc47sxo5m2xmVwvLjSG1jPCwzIDQVx703KD8L1/v1+DCFGz&#10;0b1nQvihAJvy9qbQufFX/qJLFRuRSjjkGsHGOORShtqS02HpB+LknfzodEzn2Egz6msqd71UWfYo&#10;nW45LVg90NZS3VVnh7D6VE+H8FHttsOBnrt1eOtObBEXd9PrC4hIU/wLw4yf0KFMTEd/ZhNEj5Ae&#10;ibMqZi9TII4IaqVAloX8z17+AgAA//8DAFBLAQItABQABgAIAAAAIQC2gziS/gAAAOEBAAATAAAA&#10;AAAAAAAAAAAAAAAAAABbQ29udGVudF9UeXBlc10ueG1sUEsBAi0AFAAGAAgAAAAhADj9If/WAAAA&#10;lAEAAAsAAAAAAAAAAAAAAAAALwEAAF9yZWxzLy5yZWxzUEsBAi0AFAAGAAgAAAAhAJoZ9pWhAQAA&#10;QwMAAA4AAAAAAAAAAAAAAAAALgIAAGRycy9lMm9Eb2MueG1sUEsBAi0AFAAGAAgAAAAhAD7j5OLX&#10;AAAAAwEAAA8AAAAAAAAAAAAAAAAA+wMAAGRycy9kb3ducmV2LnhtbFBLBQYAAAAABAAEAPMAAAD/&#10;BAAAAAA=&#10;" o:allowincell="f" stroked="f">
              <v:fill opacity="0"/>
              <v:textbox inset="0,0,0,0">
                <w:txbxContent>
                  <w:p w14:paraId="08CB9762" w14:textId="77777777" w:rsidR="00F07754" w:rsidRDefault="00DF17DC">
                    <w:pPr>
                      <w:pStyle w:val="llb"/>
                      <w:rPr>
                        <w:rStyle w:val="Oldalszm"/>
                      </w:rPr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>PAGE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C33DFA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A461" w14:textId="77777777" w:rsidR="00F07754" w:rsidRDefault="00DF17DC">
    <w:pPr>
      <w:pStyle w:val="llb"/>
      <w:widowControl/>
      <w:ind w:right="360" w:firstLine="360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" behindDoc="0" locked="0" layoutInCell="0" allowOverlap="1" wp14:anchorId="2D0CB312" wp14:editId="5B3E86F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685"/>
              <wp:effectExtent l="0" t="0" r="0" b="0"/>
              <wp:wrapSquare wrapText="largest"/>
              <wp:docPr id="2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300E2D5" w14:textId="77777777" w:rsidR="00F07754" w:rsidRDefault="00DF17DC">
                          <w:pPr>
                            <w:pStyle w:val="llb"/>
                            <w:rPr>
                              <w:rStyle w:val="Oldalszm"/>
                            </w:rPr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>PAGE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</w:rPr>
                            <w:t>3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2D0CB312" id="_x0000_t202" coordsize="21600,21600" o:spt="202" path="m,l,21600r21600,l21600,xe">
              <v:stroke joinstyle="miter"/>
              <v:path gradientshapeok="t" o:connecttype="rect"/>
            </v:shapetype>
            <v:shape id="Keret1" o:spid="_x0000_s1027" type="#_x0000_t202" style="position:absolute;left:0;text-align:left;margin-left:0;margin-top:.05pt;width:5.1pt;height:11.55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lnpQEAAEoDAAAOAAAAZHJzL2Uyb0RvYy54bWysU9tu2zAMfR+wfxD0vigpurQw4hTbigwD&#10;hm1A1w+QZSkWIImCqMbO34+Smwu2t6F+kEmRPuQ5pDcPk3fsoBNaCC1fLZac6aCgt2Hf8uffuw/3&#10;nGGWoZcOgm75USN/2L5/txljo29gANfrxAgkYDPGlg85x0YIVIP2EhcQdaCggeRlJjftRZ/kSOje&#10;iZvlci1GSH1MoDQi3T7OQb6t+MZolX8agzoz13LqLdcz1bMrp9huZLNPMg5WvbYh/6MLL22gomeo&#10;R5kle0n2HyhvVQIEkxcKvABjrNKVA7FZLf9i8zTIqCsXEgfjWSZ8O1j14/AUfyWWp88w0QCLIGPE&#10;Bumy8JlM8uVNnTKKk4THs2x6ykzR5fr27o4CiiKr2/X6/mMBEZdvY8L8VYNnxWh5oqFUreThO+Y5&#10;9ZRSSiE42++sc9VJ++6LS+wgaYC7+szfujjI+bYOkcrhnFpLX2GIC51i5ambmO2vqHbQH0kB9y2Q&#10;rmVHTkY6Gd3JkEENQNsz9x/g00sGYyuHgj0jUQPFoYHVVl6Xq2zEtV+zLr/A9g8AAAD//wMAUEsD&#10;BBQABgAIAAAAIQA+4+Ti1wAAAAMBAAAPAAAAZHJzL2Rvd25yZXYueG1sTI/BTsMwEETvSPyDtUi9&#10;UQdXghKyqaAVXBEpUq9uvI2jxOsodtvw9zgnOO7MaOZtsZlcLy40htYzwsMyA0Fce9Nyg/C9f79f&#10;gwhRs9G9Z0L4oQCb8vam0LnxV/6iSxUbkUo45BrBxjjkUobaktNh6Qfi5J386HRM59hIM+prKne9&#10;VFn2KJ1uOS1YPdDWUt1VZ4ew+lRPh/BR7bbDgZ67dXjrTmwRF3fT6wuISFP8C8OMn9ChTExHf2YT&#10;RI+QHomzKmYvUyCOCGqlQJaF/M9e/gIAAP//AwBQSwECLQAUAAYACAAAACEAtoM4kv4AAADhAQAA&#10;EwAAAAAAAAAAAAAAAAAAAAAAW0NvbnRlbnRfVHlwZXNdLnhtbFBLAQItABQABgAIAAAAIQA4/SH/&#10;1gAAAJQBAAALAAAAAAAAAAAAAAAAAC8BAABfcmVscy8ucmVsc1BLAQItABQABgAIAAAAIQCj+Sln&#10;pQEAAEoDAAAOAAAAAAAAAAAAAAAAAC4CAABkcnMvZTJvRG9jLnhtbFBLAQItABQABgAIAAAAIQA+&#10;4+Ti1wAAAAMBAAAPAAAAAAAAAAAAAAAAAP8DAABkcnMvZG93bnJldi54bWxQSwUGAAAAAAQABADz&#10;AAAAAwUAAAAA&#10;" o:allowincell="f" stroked="f">
              <v:fill opacity="0"/>
              <v:textbox inset="0,0,0,0">
                <w:txbxContent>
                  <w:p w14:paraId="6300E2D5" w14:textId="77777777" w:rsidR="00F07754" w:rsidRDefault="00DF17DC">
                    <w:pPr>
                      <w:pStyle w:val="llb"/>
                      <w:rPr>
                        <w:rStyle w:val="Oldalszm"/>
                      </w:rPr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>PAGE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</w:rPr>
                      <w:t>3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BDAC0" w14:textId="77777777" w:rsidR="00F07754" w:rsidRDefault="00F077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BD020" w14:textId="77777777" w:rsidR="00EB33B6" w:rsidRDefault="00DF17DC">
      <w:r>
        <w:separator/>
      </w:r>
    </w:p>
  </w:footnote>
  <w:footnote w:type="continuationSeparator" w:id="0">
    <w:p w14:paraId="0FE7F452" w14:textId="77777777" w:rsidR="00EB33B6" w:rsidRDefault="00DF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26042" w14:textId="77777777" w:rsidR="00F07754" w:rsidRDefault="00F07754">
    <w:pPr>
      <w:pStyle w:val="lfej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7B3B" w14:textId="77777777" w:rsidR="00F07754" w:rsidRDefault="00F07754">
    <w:pPr>
      <w:pStyle w:val="lfej"/>
      <w:pBdr>
        <w:bottom w:val="single" w:sz="4" w:space="1" w:color="000000"/>
      </w:pBdr>
      <w:rPr>
        <w:b/>
        <w:i/>
        <w:iCs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4ED4D" w14:textId="77777777" w:rsidR="00F07754" w:rsidRDefault="00F077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A7887"/>
    <w:multiLevelType w:val="multilevel"/>
    <w:tmpl w:val="5CAA3D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C4050AC"/>
    <w:multiLevelType w:val="multilevel"/>
    <w:tmpl w:val="321E1C8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641E28"/>
    <w:multiLevelType w:val="multilevel"/>
    <w:tmpl w:val="54441D9A"/>
    <w:lvl w:ilvl="0">
      <w:start w:val="1"/>
      <w:numFmt w:val="decimal"/>
      <w:pStyle w:val="Felsorol"/>
      <w:lvlText w:val="?%1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58E1B0E"/>
    <w:multiLevelType w:val="multilevel"/>
    <w:tmpl w:val="5A7255B0"/>
    <w:lvl w:ilvl="0">
      <w:start w:val="1"/>
      <w:numFmt w:val="decimal"/>
      <w:pStyle w:val="Felsorol-2"/>
      <w:lvlText w:val="?%1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54"/>
    <w:rsid w:val="00245126"/>
    <w:rsid w:val="00313B28"/>
    <w:rsid w:val="00420E58"/>
    <w:rsid w:val="00434E46"/>
    <w:rsid w:val="0051325E"/>
    <w:rsid w:val="00736B86"/>
    <w:rsid w:val="00843E42"/>
    <w:rsid w:val="00846D44"/>
    <w:rsid w:val="008F7523"/>
    <w:rsid w:val="00902724"/>
    <w:rsid w:val="00A26F30"/>
    <w:rsid w:val="00A4254D"/>
    <w:rsid w:val="00A5785E"/>
    <w:rsid w:val="00BA0208"/>
    <w:rsid w:val="00C33DFA"/>
    <w:rsid w:val="00CE593B"/>
    <w:rsid w:val="00D50ADE"/>
    <w:rsid w:val="00D9697B"/>
    <w:rsid w:val="00DF17DC"/>
    <w:rsid w:val="00E21B50"/>
    <w:rsid w:val="00E26EAE"/>
    <w:rsid w:val="00E30ABA"/>
    <w:rsid w:val="00E374C6"/>
    <w:rsid w:val="00E876CC"/>
    <w:rsid w:val="00EB33B6"/>
    <w:rsid w:val="00F07754"/>
    <w:rsid w:val="00F11C8E"/>
    <w:rsid w:val="00F15F0F"/>
    <w:rsid w:val="00FA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1221"/>
  <w15:docId w15:val="{D076E9A3-2755-4DB3-A573-752EF2F9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msor1">
    <w:name w:val="heading 1"/>
    <w:basedOn w:val="Norml"/>
    <w:next w:val="Norml"/>
    <w:uiPriority w:val="9"/>
    <w:qFormat/>
    <w:pPr>
      <w:keepNext/>
      <w:numPr>
        <w:numId w:val="1"/>
      </w:numPr>
      <w:spacing w:before="480" w:after="360"/>
      <w:jc w:val="center"/>
      <w:outlineLvl w:val="0"/>
    </w:pPr>
    <w:rPr>
      <w:b/>
      <w:kern w:val="2"/>
      <w:sz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numPr>
        <w:ilvl w:val="1"/>
        <w:numId w:val="1"/>
      </w:numPr>
      <w:spacing w:before="360" w:after="120"/>
      <w:outlineLvl w:val="1"/>
    </w:pPr>
    <w:rPr>
      <w:b/>
      <w:sz w:val="28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numPr>
        <w:ilvl w:val="4"/>
        <w:numId w:val="1"/>
      </w:numPr>
      <w:tabs>
        <w:tab w:val="left" w:pos="4253"/>
      </w:tabs>
      <w:spacing w:line="360" w:lineRule="auto"/>
      <w:jc w:val="both"/>
      <w:outlineLvl w:val="4"/>
    </w:pPr>
    <w:rPr>
      <w:b/>
      <w:bCs/>
      <w:sz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numPr>
        <w:ilvl w:val="5"/>
        <w:numId w:val="1"/>
      </w:numPr>
      <w:spacing w:line="360" w:lineRule="auto"/>
      <w:ind w:firstLine="142"/>
      <w:jc w:val="both"/>
      <w:outlineLvl w:val="5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WW8NumSt2z0">
    <w:name w:val="WW8NumSt2z0"/>
    <w:qFormat/>
    <w:rPr>
      <w:rFonts w:ascii="Symbol" w:hAnsi="Symbol" w:cs="Symbol"/>
      <w:sz w:val="12"/>
    </w:rPr>
  </w:style>
  <w:style w:type="character" w:styleId="Oldalszm">
    <w:name w:val="page number"/>
    <w:rPr>
      <w:sz w:val="20"/>
    </w:rPr>
  </w:style>
  <w:style w:type="character" w:customStyle="1" w:styleId="BuborkszvegChar">
    <w:name w:val="Buborékszöveg Char"/>
    <w:qFormat/>
    <w:rPr>
      <w:sz w:val="18"/>
      <w:szCs w:val="18"/>
      <w:lang w:val="hu-HU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20"/>
      <w:jc w:val="both"/>
    </w:pPr>
    <w:rPr>
      <w:sz w:val="24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customStyle="1" w:styleId="lfejsllb">
    <w:name w:val="Élőfej és élőláb"/>
    <w:basedOn w:val="Norml"/>
    <w:qFormat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Szveg">
    <w:name w:val="Szöveg"/>
    <w:basedOn w:val="Norml"/>
    <w:qFormat/>
    <w:pPr>
      <w:spacing w:after="120" w:line="270" w:lineRule="exact"/>
      <w:jc w:val="both"/>
    </w:pPr>
    <w:rPr>
      <w:sz w:val="24"/>
    </w:rPr>
  </w:style>
  <w:style w:type="paragraph" w:customStyle="1" w:styleId="Felsorol">
    <w:name w:val="Felsorol"/>
    <w:basedOn w:val="Norml"/>
    <w:qFormat/>
    <w:pPr>
      <w:numPr>
        <w:numId w:val="3"/>
      </w:numPr>
      <w:tabs>
        <w:tab w:val="left" w:pos="927"/>
      </w:tabs>
      <w:spacing w:line="270" w:lineRule="exact"/>
      <w:ind w:left="907"/>
      <w:jc w:val="both"/>
    </w:pPr>
    <w:rPr>
      <w:sz w:val="24"/>
    </w:rPr>
  </w:style>
  <w:style w:type="paragraph" w:customStyle="1" w:styleId="Felsorolvge">
    <w:name w:val="Felsorol vége"/>
    <w:basedOn w:val="Felsorol"/>
    <w:qFormat/>
    <w:pPr>
      <w:spacing w:after="120"/>
    </w:pPr>
  </w:style>
  <w:style w:type="paragraph" w:customStyle="1" w:styleId="Felsorol-2">
    <w:name w:val="Felsorol-2"/>
    <w:basedOn w:val="Felsorol"/>
    <w:qFormat/>
    <w:pPr>
      <w:numPr>
        <w:numId w:val="4"/>
      </w:numPr>
      <w:tabs>
        <w:tab w:val="left" w:pos="1276"/>
      </w:tabs>
      <w:ind w:left="1276"/>
    </w:pPr>
  </w:style>
  <w:style w:type="paragraph" w:customStyle="1" w:styleId="Szvegfolytat">
    <w:name w:val="Szöveg folytat"/>
    <w:basedOn w:val="Szveg"/>
    <w:qFormat/>
    <w:pPr>
      <w:spacing w:after="0"/>
    </w:pPr>
  </w:style>
  <w:style w:type="paragraph" w:customStyle="1" w:styleId="Cmssor4">
    <w:name w:val="Címssor 4"/>
    <w:basedOn w:val="Szveg"/>
    <w:qFormat/>
    <w:pPr>
      <w:spacing w:before="120" w:after="60"/>
    </w:pPr>
    <w:rPr>
      <w:b/>
      <w:i/>
    </w:rPr>
  </w:style>
  <w:style w:type="paragraph" w:styleId="TJ1">
    <w:name w:val="toc 1"/>
    <w:basedOn w:val="Norml"/>
    <w:next w:val="Norml"/>
  </w:style>
  <w:style w:type="paragraph" w:styleId="TJ2">
    <w:name w:val="toc 2"/>
    <w:basedOn w:val="Norml"/>
    <w:next w:val="Norml"/>
    <w:pPr>
      <w:ind w:left="200"/>
    </w:pPr>
  </w:style>
  <w:style w:type="paragraph" w:styleId="TJ3">
    <w:name w:val="toc 3"/>
    <w:basedOn w:val="Norml"/>
    <w:next w:val="Norml"/>
    <w:pPr>
      <w:ind w:left="400"/>
    </w:pPr>
  </w:style>
  <w:style w:type="paragraph" w:styleId="TJ4">
    <w:name w:val="toc 4"/>
    <w:basedOn w:val="Norml"/>
    <w:next w:val="Norml"/>
    <w:pPr>
      <w:ind w:left="600"/>
    </w:pPr>
  </w:style>
  <w:style w:type="paragraph" w:styleId="TJ5">
    <w:name w:val="toc 5"/>
    <w:basedOn w:val="Norml"/>
    <w:next w:val="Norml"/>
    <w:pPr>
      <w:ind w:left="800"/>
    </w:pPr>
  </w:style>
  <w:style w:type="paragraph" w:styleId="TJ6">
    <w:name w:val="toc 6"/>
    <w:basedOn w:val="Norml"/>
    <w:next w:val="Norml"/>
    <w:pPr>
      <w:ind w:left="1000"/>
    </w:pPr>
  </w:style>
  <w:style w:type="paragraph" w:styleId="TJ7">
    <w:name w:val="toc 7"/>
    <w:basedOn w:val="Norml"/>
    <w:next w:val="Norml"/>
    <w:pPr>
      <w:ind w:left="1200"/>
    </w:pPr>
  </w:style>
  <w:style w:type="paragraph" w:styleId="TJ8">
    <w:name w:val="toc 8"/>
    <w:basedOn w:val="Norml"/>
    <w:next w:val="Norml"/>
    <w:pPr>
      <w:ind w:left="1400"/>
    </w:pPr>
  </w:style>
  <w:style w:type="paragraph" w:styleId="TJ9">
    <w:name w:val="toc 9"/>
    <w:basedOn w:val="Norml"/>
    <w:next w:val="Norml"/>
    <w:pPr>
      <w:ind w:left="1600"/>
    </w:pPr>
  </w:style>
  <w:style w:type="paragraph" w:styleId="Szvegtrzsbehzssal">
    <w:name w:val="Body Text Indent"/>
    <w:basedOn w:val="Norml"/>
    <w:pPr>
      <w:widowControl/>
      <w:ind w:firstLine="284"/>
    </w:pPr>
    <w:rPr>
      <w:sz w:val="24"/>
    </w:rPr>
  </w:style>
  <w:style w:type="paragraph" w:styleId="Szvegtrzsbehzssal2">
    <w:name w:val="Body Text Indent 2"/>
    <w:basedOn w:val="Norml"/>
    <w:qFormat/>
    <w:pPr>
      <w:widowControl/>
      <w:spacing w:line="360" w:lineRule="auto"/>
      <w:ind w:firstLine="284"/>
      <w:jc w:val="both"/>
    </w:pPr>
    <w:rPr>
      <w:sz w:val="24"/>
    </w:rPr>
  </w:style>
  <w:style w:type="paragraph" w:styleId="Buborkszveg">
    <w:name w:val="Balloon Text"/>
    <w:basedOn w:val="Norml"/>
    <w:qFormat/>
    <w:rPr>
      <w:sz w:val="18"/>
      <w:szCs w:val="18"/>
    </w:rPr>
  </w:style>
  <w:style w:type="paragraph" w:customStyle="1" w:styleId="Kerettartalom">
    <w:name w:val="Kerettartalom"/>
    <w:basedOn w:val="Norm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StyleNum">
    <w:name w:val="WW8StyleNum"/>
    <w:qFormat/>
  </w:style>
  <w:style w:type="numbering" w:customStyle="1" w:styleId="WW8StyleNum1">
    <w:name w:val="WW8Style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629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VII</vt:lpstr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</dc:title>
  <dc:subject/>
  <dc:creator>..</dc:creator>
  <cp:keywords> </cp:keywords>
  <dc:description/>
  <cp:lastModifiedBy>MISZJE</cp:lastModifiedBy>
  <cp:revision>3</cp:revision>
  <cp:lastPrinted>2016-10-17T12:29:00Z</cp:lastPrinted>
  <dcterms:created xsi:type="dcterms:W3CDTF">2023-05-19T15:23:00Z</dcterms:created>
  <dcterms:modified xsi:type="dcterms:W3CDTF">2023-05-19T15:35:00Z</dcterms:modified>
  <dc:language>hu-HU</dc:language>
</cp:coreProperties>
</file>